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BE" w:rsidRDefault="00BC1EBE" w:rsidP="00BC1EBE">
      <w:pPr>
        <w:pStyle w:val="Ttulo2"/>
        <w:jc w:val="both"/>
      </w:pPr>
      <w:r>
        <w:t>Determinaciones sobre los siguientes apartados del anexo v de la ley 2/2002, de 19 de junio, de evaluación ambiental de la comunidad de Madrid</w:t>
      </w:r>
    </w:p>
    <w:p w:rsidR="00BC1EBE" w:rsidRPr="00BC1EBE" w:rsidRDefault="00BC1EBE" w:rsidP="00BC1EBE">
      <w:pPr>
        <w:jc w:val="both"/>
      </w:pPr>
    </w:p>
    <w:p w:rsidR="00BC1EBE" w:rsidRDefault="00BC1EBE" w:rsidP="00BC1EBE">
      <w:pPr>
        <w:autoSpaceDE w:val="0"/>
        <w:autoSpaceDN w:val="0"/>
        <w:adjustRightInd w:val="0"/>
        <w:spacing w:after="0" w:line="240" w:lineRule="auto"/>
        <w:jc w:val="both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Las actividades o proyectos sometidos a evaluación ambiental incluidos en el anexo V de la Ley 2/2002, de 19 de junio, de Evaluación Ambiental de la Comunidad de Madrid, se sujetarán a las siguientes prescripciones:</w:t>
      </w:r>
    </w:p>
    <w:p w:rsidR="00BC1EBE" w:rsidRDefault="00BC1EBE" w:rsidP="00BC1EBE">
      <w:pPr>
        <w:autoSpaceDE w:val="0"/>
        <w:autoSpaceDN w:val="0"/>
        <w:adjustRightInd w:val="0"/>
        <w:spacing w:after="0" w:line="240" w:lineRule="auto"/>
        <w:jc w:val="both"/>
        <w:rPr>
          <w:rFonts w:ascii="NimbusRomanNo9L-Regular" w:hAnsi="NimbusRomanNo9L-Regular" w:cs="NimbusRomanNo9L-Regular"/>
          <w:color w:val="231F20"/>
        </w:rPr>
      </w:pPr>
    </w:p>
    <w:p w:rsidR="00BC1EBE" w:rsidRDefault="00BC1EBE" w:rsidP="00BC1EBE">
      <w:pPr>
        <w:autoSpaceDE w:val="0"/>
        <w:autoSpaceDN w:val="0"/>
        <w:adjustRightInd w:val="0"/>
        <w:spacing w:after="0" w:line="240" w:lineRule="auto"/>
        <w:jc w:val="both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 xml:space="preserve">14. </w:t>
      </w:r>
      <w:r w:rsidRPr="00BC1EBE">
        <w:rPr>
          <w:rFonts w:ascii="NimbusRomanNo9L-RegularItalic" w:hAnsi="NimbusRomanNo9L-RegularItalic" w:cs="NimbusRomanNo9L-RegularItalic"/>
          <w:i/>
          <w:iCs/>
          <w:color w:val="231F20"/>
          <w:u w:val="single"/>
        </w:rPr>
        <w:t>Imprentas, centros de reprografía y otras actividades de impresión</w:t>
      </w:r>
      <w:proofErr w:type="gramStart"/>
      <w:r>
        <w:rPr>
          <w:rFonts w:ascii="NimbusRomanNo9L-RegularItalic" w:hAnsi="NimbusRomanNo9L-RegularItalic" w:cs="NimbusRomanNo9L-RegularItalic"/>
          <w:i/>
          <w:iCs/>
          <w:color w:val="231F20"/>
        </w:rPr>
        <w:t>.—</w:t>
      </w:r>
      <w:proofErr w:type="gramEnd"/>
      <w:r>
        <w:rPr>
          <w:rFonts w:ascii="NimbusRomanNo9L-Regular" w:hAnsi="NimbusRomanNo9L-Regular" w:cs="NimbusRomanNo9L-Regular"/>
          <w:color w:val="231F20"/>
        </w:rPr>
        <w:t>No se incluirá las tiendas de fotocopias y/o impresión electrónica incluidas en el ámbito de aplicación de la declaración responsable.</w:t>
      </w:r>
    </w:p>
    <w:p w:rsidR="00BC1EBE" w:rsidRDefault="00BC1EBE" w:rsidP="00BC1EBE">
      <w:pPr>
        <w:autoSpaceDE w:val="0"/>
        <w:autoSpaceDN w:val="0"/>
        <w:adjustRightInd w:val="0"/>
        <w:spacing w:after="0" w:line="240" w:lineRule="auto"/>
        <w:jc w:val="both"/>
        <w:rPr>
          <w:rFonts w:ascii="NimbusRomanNo9L-Regular" w:hAnsi="NimbusRomanNo9L-Regular" w:cs="NimbusRomanNo9L-Regular"/>
          <w:color w:val="231F20"/>
        </w:rPr>
      </w:pPr>
    </w:p>
    <w:p w:rsidR="00BC1EBE" w:rsidRDefault="00BC1EBE" w:rsidP="00BC1EBE">
      <w:pPr>
        <w:autoSpaceDE w:val="0"/>
        <w:autoSpaceDN w:val="0"/>
        <w:adjustRightInd w:val="0"/>
        <w:spacing w:after="0" w:line="240" w:lineRule="auto"/>
        <w:jc w:val="both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 xml:space="preserve">15. </w:t>
      </w:r>
      <w:r w:rsidRPr="00BC1EBE">
        <w:rPr>
          <w:rFonts w:ascii="NimbusRomanNo9L-RegularItalic" w:hAnsi="NimbusRomanNo9L-RegularItalic" w:cs="NimbusRomanNo9L-RegularItalic"/>
          <w:i/>
          <w:iCs/>
          <w:color w:val="231F20"/>
          <w:u w:val="single"/>
        </w:rPr>
        <w:t>Talleres de reparación y mantenimiento de vehículos automóviles u otro medio de transporte</w:t>
      </w:r>
      <w:proofErr w:type="gramStart"/>
      <w:r>
        <w:rPr>
          <w:rFonts w:ascii="NimbusRomanNo9L-RegularItalic" w:hAnsi="NimbusRomanNo9L-RegularItalic" w:cs="NimbusRomanNo9L-RegularItalic"/>
          <w:i/>
          <w:iCs/>
          <w:color w:val="231F20"/>
        </w:rPr>
        <w:t>.—</w:t>
      </w:r>
      <w:proofErr w:type="gramEnd"/>
      <w:r>
        <w:rPr>
          <w:rFonts w:ascii="NimbusRomanNo9L-Regular" w:hAnsi="NimbusRomanNo9L-Regular" w:cs="NimbusRomanNo9L-Regular"/>
          <w:color w:val="231F20"/>
        </w:rPr>
        <w:t>No se incluirán los talleres de reparación y mantenimiento de vehículos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 xml:space="preserve"> </w:t>
      </w:r>
      <w:r>
        <w:rPr>
          <w:rFonts w:ascii="NimbusRomanNo9L-Regular" w:hAnsi="NimbusRomanNo9L-Regular" w:cs="NimbusRomanNo9L-Regular"/>
          <w:color w:val="231F20"/>
        </w:rPr>
        <w:t>donde únicamente se instalen elementos o equipamientos sin incidencia medio ambiental,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 xml:space="preserve"> </w:t>
      </w:r>
      <w:r>
        <w:rPr>
          <w:rFonts w:ascii="NimbusRomanNo9L-Regular" w:hAnsi="NimbusRomanNo9L-Regular" w:cs="NimbusRomanNo9L-Regular"/>
          <w:color w:val="231F20"/>
        </w:rPr>
        <w:t>como instalación de componentes electrónicos y multimedia o reparación de lunas.</w:t>
      </w:r>
    </w:p>
    <w:p w:rsidR="00BC1EBE" w:rsidRPr="00BC1EBE" w:rsidRDefault="00BC1EBE" w:rsidP="00BC1EBE">
      <w:pPr>
        <w:autoSpaceDE w:val="0"/>
        <w:autoSpaceDN w:val="0"/>
        <w:adjustRightInd w:val="0"/>
        <w:spacing w:after="0" w:line="240" w:lineRule="auto"/>
        <w:jc w:val="both"/>
        <w:rPr>
          <w:rFonts w:ascii="NimbusRomanNo9L-RegularItalic" w:hAnsi="NimbusRomanNo9L-RegularItalic" w:cs="NimbusRomanNo9L-RegularItalic"/>
          <w:i/>
          <w:iCs/>
          <w:color w:val="231F20"/>
        </w:rPr>
      </w:pPr>
    </w:p>
    <w:p w:rsidR="00BC1EBE" w:rsidRDefault="00BC1EBE" w:rsidP="00BC1EBE">
      <w:pPr>
        <w:autoSpaceDE w:val="0"/>
        <w:autoSpaceDN w:val="0"/>
        <w:adjustRightInd w:val="0"/>
        <w:spacing w:after="0" w:line="240" w:lineRule="auto"/>
        <w:jc w:val="both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 xml:space="preserve">16. </w:t>
      </w:r>
      <w:r w:rsidRPr="00BC1EBE">
        <w:rPr>
          <w:rFonts w:ascii="NimbusRomanNo9L-RegularItalic" w:hAnsi="NimbusRomanNo9L-RegularItalic" w:cs="NimbusRomanNo9L-RegularItalic"/>
          <w:i/>
          <w:iCs/>
          <w:color w:val="231F20"/>
          <w:u w:val="single"/>
        </w:rPr>
        <w:t>Instalaciones base de telefonía que operen con radiofrecuencia</w:t>
      </w:r>
      <w:proofErr w:type="gramStart"/>
      <w:r w:rsidRPr="00BC1EBE">
        <w:rPr>
          <w:rFonts w:ascii="NimbusRomanNo9L-Regular" w:hAnsi="NimbusRomanNo9L-Regular" w:cs="NimbusRomanNo9L-Regular"/>
          <w:color w:val="231F20"/>
          <w:u w:val="single"/>
        </w:rPr>
        <w:t>.—</w:t>
      </w:r>
      <w:proofErr w:type="gramEnd"/>
      <w:r>
        <w:rPr>
          <w:rFonts w:ascii="NimbusRomanNo9L-Regular" w:hAnsi="NimbusRomanNo9L-Regular" w:cs="NimbusRomanNo9L-Regular"/>
          <w:color w:val="231F20"/>
        </w:rPr>
        <w:t>Únicamente las que excedan los límites del ámbito de aplicación de la declaración responsable.</w:t>
      </w:r>
    </w:p>
    <w:p w:rsidR="00BC1EBE" w:rsidRDefault="00BC1EBE" w:rsidP="00BC1EBE">
      <w:pPr>
        <w:autoSpaceDE w:val="0"/>
        <w:autoSpaceDN w:val="0"/>
        <w:adjustRightInd w:val="0"/>
        <w:spacing w:after="0" w:line="240" w:lineRule="auto"/>
        <w:jc w:val="both"/>
        <w:rPr>
          <w:rFonts w:ascii="NimbusRomanNo9L-Regular" w:hAnsi="NimbusRomanNo9L-Regular" w:cs="NimbusRomanNo9L-Regular"/>
          <w:color w:val="231F20"/>
        </w:rPr>
      </w:pPr>
    </w:p>
    <w:p w:rsidR="00BC1EBE" w:rsidRDefault="00BC1EBE" w:rsidP="00BC1EBE">
      <w:pPr>
        <w:autoSpaceDE w:val="0"/>
        <w:autoSpaceDN w:val="0"/>
        <w:adjustRightInd w:val="0"/>
        <w:spacing w:after="0" w:line="240" w:lineRule="auto"/>
        <w:jc w:val="both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 xml:space="preserve">17. </w:t>
      </w:r>
      <w:r w:rsidRPr="00BC1EBE">
        <w:rPr>
          <w:rFonts w:ascii="NimbusRomanNo9L-RegularItalic" w:hAnsi="NimbusRomanNo9L-RegularItalic" w:cs="NimbusRomanNo9L-RegularItalic"/>
          <w:i/>
          <w:iCs/>
          <w:color w:val="231F20"/>
          <w:u w:val="single"/>
        </w:rPr>
        <w:t>Talleres de reparación de maquinaria en general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.</w:t>
      </w:r>
      <w:r>
        <w:rPr>
          <w:rFonts w:ascii="NimbusRomanNo9L-Regular" w:hAnsi="NimbusRomanNo9L-Regular" w:cs="NimbusRomanNo9L-Regular"/>
          <w:color w:val="231F20"/>
        </w:rPr>
        <w:t xml:space="preserve">—No se incluirán los pequeños talleres de hasta 150 metros cuadrados en los que no se produzcan residuos peligrosos tales como aceites usados, fluorescentes, pilas, baterías, pinturas, barnices, pegamentos, </w:t>
      </w:r>
      <w:proofErr w:type="spellStart"/>
      <w:r>
        <w:rPr>
          <w:rFonts w:ascii="NimbusRomanNo9L-Regular" w:hAnsi="NimbusRomanNo9L-Regular" w:cs="NimbusRomanNo9L-Regular"/>
          <w:color w:val="231F20"/>
        </w:rPr>
        <w:t>sellantes</w:t>
      </w:r>
      <w:proofErr w:type="spellEnd"/>
      <w:r>
        <w:rPr>
          <w:rFonts w:ascii="NimbusRomanNo9L-Regular" w:hAnsi="NimbusRomanNo9L-Regular" w:cs="NimbusRomanNo9L-Regular"/>
          <w:color w:val="231F20"/>
        </w:rPr>
        <w:t>, ni aguas contaminadas con aceites o refrigerantes, etcétera. Tampoco se incluirán los talleres de reparación de artículos eléctricos para el hogar incluidas en el ámbito de aplicación de la declaración responsable.</w:t>
      </w:r>
    </w:p>
    <w:p w:rsidR="00BC1EBE" w:rsidRDefault="00BC1EBE" w:rsidP="00BC1EBE">
      <w:pPr>
        <w:autoSpaceDE w:val="0"/>
        <w:autoSpaceDN w:val="0"/>
        <w:adjustRightInd w:val="0"/>
        <w:spacing w:after="0" w:line="240" w:lineRule="auto"/>
        <w:jc w:val="both"/>
        <w:rPr>
          <w:rFonts w:ascii="NimbusRomanNo9L-Regular" w:hAnsi="NimbusRomanNo9L-Regular" w:cs="NimbusRomanNo9L-Regular"/>
          <w:color w:val="231F20"/>
        </w:rPr>
      </w:pPr>
    </w:p>
    <w:p w:rsidR="00BC1EBE" w:rsidRDefault="00BC1EBE" w:rsidP="00BC1EBE">
      <w:pPr>
        <w:autoSpaceDE w:val="0"/>
        <w:autoSpaceDN w:val="0"/>
        <w:adjustRightInd w:val="0"/>
        <w:spacing w:after="0" w:line="240" w:lineRule="auto"/>
        <w:jc w:val="both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 xml:space="preserve">18. </w:t>
      </w:r>
      <w:r w:rsidRPr="00BC1EBE">
        <w:rPr>
          <w:rFonts w:ascii="NimbusRomanNo9L-RegularItalic" w:hAnsi="NimbusRomanNo9L-RegularItalic" w:cs="NimbusRomanNo9L-RegularItalic"/>
          <w:i/>
          <w:iCs/>
          <w:color w:val="231F20"/>
          <w:u w:val="single"/>
        </w:rPr>
        <w:t>Tintorerías y otros establecimientos similares no incluidos en otros anexos</w:t>
      </w:r>
      <w:proofErr w:type="gramStart"/>
      <w:r>
        <w:rPr>
          <w:rFonts w:ascii="NimbusRomanNo9L-RegularItalic" w:hAnsi="NimbusRomanNo9L-RegularItalic" w:cs="NimbusRomanNo9L-RegularItalic"/>
          <w:i/>
          <w:iCs/>
          <w:color w:val="231F20"/>
        </w:rPr>
        <w:t>.—</w:t>
      </w:r>
      <w:proofErr w:type="gramEnd"/>
      <w:r>
        <w:rPr>
          <w:rFonts w:ascii="NimbusRomanNo9L-Regular" w:hAnsi="NimbusRomanNo9L-Regular" w:cs="NimbusRomanNo9L-Regular"/>
          <w:color w:val="231F20"/>
        </w:rPr>
        <w:t>No se incluirá al estar dentro del ámbito de aplicación de la declaración responsable.</w:t>
      </w:r>
    </w:p>
    <w:p w:rsidR="00BC1EBE" w:rsidRDefault="00BC1EBE" w:rsidP="00BC1EBE">
      <w:pPr>
        <w:autoSpaceDE w:val="0"/>
        <w:autoSpaceDN w:val="0"/>
        <w:adjustRightInd w:val="0"/>
        <w:spacing w:after="0" w:line="240" w:lineRule="auto"/>
        <w:jc w:val="both"/>
        <w:rPr>
          <w:rFonts w:ascii="NimbusRomanNo9L-Regular" w:hAnsi="NimbusRomanNo9L-Regular" w:cs="NimbusRomanNo9L-Regular"/>
          <w:color w:val="231F20"/>
        </w:rPr>
      </w:pPr>
    </w:p>
    <w:p w:rsidR="00554794" w:rsidRPr="00BC1EBE" w:rsidRDefault="00BC1EBE" w:rsidP="00BC1EBE">
      <w:pPr>
        <w:autoSpaceDE w:val="0"/>
        <w:autoSpaceDN w:val="0"/>
        <w:adjustRightInd w:val="0"/>
        <w:spacing w:after="0" w:line="240" w:lineRule="auto"/>
        <w:jc w:val="both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 xml:space="preserve">20. </w:t>
      </w:r>
      <w:r w:rsidRPr="00BC1EBE">
        <w:rPr>
          <w:rFonts w:ascii="NimbusRomanNo9L-RegularItalic" w:hAnsi="NimbusRomanNo9L-RegularItalic" w:cs="NimbusRomanNo9L-RegularItalic"/>
          <w:i/>
          <w:iCs/>
          <w:color w:val="231F20"/>
          <w:u w:val="single"/>
        </w:rPr>
        <w:t>Comercio y distribución al por menor de productos químicos, farmacéuticos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 xml:space="preserve">, </w:t>
      </w:r>
      <w:r w:rsidRPr="00BC1EBE">
        <w:rPr>
          <w:rFonts w:ascii="NimbusRomanNo9L-RegularItalic" w:hAnsi="NimbusRomanNo9L-RegularItalic" w:cs="NimbusRomanNo9L-RegularItalic"/>
          <w:i/>
          <w:iCs/>
          <w:color w:val="231F20"/>
          <w:u w:val="single"/>
        </w:rPr>
        <w:t>productos de droguería y perfumería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 xml:space="preserve">, cuando se realicen operaciones de </w:t>
      </w:r>
      <w:proofErr w:type="spellStart"/>
      <w:r>
        <w:rPr>
          <w:rFonts w:ascii="NimbusRomanNo9L-RegularItalic" w:hAnsi="NimbusRomanNo9L-RegularItalic" w:cs="NimbusRomanNo9L-RegularItalic"/>
          <w:i/>
          <w:iCs/>
          <w:color w:val="231F20"/>
        </w:rPr>
        <w:t>granelado</w:t>
      </w:r>
      <w:proofErr w:type="spellEnd"/>
      <w:r>
        <w:rPr>
          <w:rFonts w:ascii="NimbusRomanNo9L-RegularItalic" w:hAnsi="NimbusRomanNo9L-RegularItalic" w:cs="NimbusRomanNo9L-RegularItalic"/>
          <w:i/>
          <w:iCs/>
          <w:color w:val="231F20"/>
        </w:rPr>
        <w:t>, mezcla o envasado</w:t>
      </w:r>
      <w:proofErr w:type="gramStart"/>
      <w:r>
        <w:rPr>
          <w:rFonts w:ascii="NimbusRomanNo9L-RegularItalic" w:hAnsi="NimbusRomanNo9L-RegularItalic" w:cs="NimbusRomanNo9L-RegularItalic"/>
          <w:i/>
          <w:iCs/>
          <w:color w:val="231F20"/>
        </w:rPr>
        <w:t>.—</w:t>
      </w:r>
      <w:proofErr w:type="gramEnd"/>
      <w:r>
        <w:rPr>
          <w:rFonts w:ascii="NimbusRomanNo9L-Regular" w:hAnsi="NimbusRomanNo9L-Regular" w:cs="NimbusRomanNo9L-Regular"/>
          <w:color w:val="231F20"/>
        </w:rPr>
        <w:t xml:space="preserve">No se incluirán cuando las operaciones de </w:t>
      </w:r>
      <w:proofErr w:type="spellStart"/>
      <w:r>
        <w:rPr>
          <w:rFonts w:ascii="NimbusRomanNo9L-Regular" w:hAnsi="NimbusRomanNo9L-Regular" w:cs="NimbusRomanNo9L-Regular"/>
          <w:color w:val="231F20"/>
        </w:rPr>
        <w:t>granelado</w:t>
      </w:r>
      <w:proofErr w:type="spellEnd"/>
      <w:r>
        <w:rPr>
          <w:rFonts w:ascii="NimbusRomanNo9L-Regular" w:hAnsi="NimbusRomanNo9L-Regular" w:cs="NimbusRomanNo9L-Regular"/>
          <w:color w:val="231F20"/>
        </w:rPr>
        <w:t>, mezcla o envasado no</w:t>
      </w:r>
    </w:p>
    <w:sectPr w:rsidR="00554794" w:rsidRPr="00BC1EBE" w:rsidSect="003608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mbusRomanNo9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anNo9L-Regular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C1EBE"/>
    <w:rsid w:val="00360820"/>
    <w:rsid w:val="006747BB"/>
    <w:rsid w:val="00A42F46"/>
    <w:rsid w:val="00BC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2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C1E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C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1675</Characters>
  <Application>Microsoft Office Word</Application>
  <DocSecurity>0</DocSecurity>
  <Lines>13</Lines>
  <Paragraphs>3</Paragraphs>
  <ScaleCrop>false</ScaleCrop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esotoca</dc:creator>
  <cp:lastModifiedBy>esotoca</cp:lastModifiedBy>
  <cp:revision>1</cp:revision>
  <dcterms:created xsi:type="dcterms:W3CDTF">2014-09-16T15:44:00Z</dcterms:created>
  <dcterms:modified xsi:type="dcterms:W3CDTF">2014-09-16T15:46:00Z</dcterms:modified>
</cp:coreProperties>
</file>